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bookmarkStart w:id="30" w:name="_GoBack"/>
      <w:bookmarkEnd w:id="30"/>
      <w:r>
        <w:rPr>
          <w:rFonts w:hint="eastAsia" w:ascii="黑体" w:hAnsi="黑体" w:eastAsia="黑体" w:cs="黑体"/>
          <w:color w:val="000000"/>
        </w:rPr>
        <w:t>安徽省地方标准编制说明</w:t>
      </w:r>
    </w:p>
    <w:tbl>
      <w:tblPr>
        <w:tblStyle w:val="9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5" w:type="dxa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标准名称</w:t>
            </w:r>
          </w:p>
        </w:tc>
        <w:tc>
          <w:tcPr>
            <w:tcW w:w="7945" w:type="dxa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  <w:u w:val="none"/>
              </w:rPr>
            </w:pPr>
            <w:r>
              <w:rPr>
                <w:rFonts w:hint="eastAsia" w:hAnsi="宋体" w:cs="宋体"/>
                <w:szCs w:val="21"/>
                <w:u w:val="none"/>
              </w:rPr>
              <w:t>《近零能耗建筑评价标准》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5" w:type="dxa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任务来源</w:t>
            </w:r>
          </w:p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（项目计划号）</w:t>
            </w:r>
          </w:p>
        </w:tc>
        <w:tc>
          <w:tcPr>
            <w:tcW w:w="7945" w:type="dxa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  <w:u w:val="none"/>
              </w:rPr>
            </w:pPr>
            <w:r>
              <w:rPr>
                <w:rFonts w:hint="eastAsia" w:hAnsi="宋体"/>
                <w:szCs w:val="21"/>
                <w:u w:val="none"/>
              </w:rPr>
              <w:t>《安徽省市场监督管理局关于下达2022年第二批安徽省地方标准制修订计划的通知》（皖市监函〔2022〕550号），项目计划号：2022-2-127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5" w:type="dxa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第一起草单位</w:t>
            </w:r>
          </w:p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（盖章）</w:t>
            </w:r>
          </w:p>
        </w:tc>
        <w:tc>
          <w:tcPr>
            <w:tcW w:w="7945" w:type="dxa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  <w:u w:val="none"/>
              </w:rPr>
            </w:pPr>
            <w:r>
              <w:rPr>
                <w:rFonts w:hint="eastAsia" w:hAnsi="宋体" w:cs="宋体"/>
                <w:szCs w:val="21"/>
                <w:u w:val="none"/>
              </w:rPr>
              <w:t>安徽省建筑科学研究设计院（盖章）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5" w:type="dxa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单位地址</w:t>
            </w:r>
          </w:p>
        </w:tc>
        <w:tc>
          <w:tcPr>
            <w:tcW w:w="7945" w:type="dxa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  <w:u w:val="none"/>
              </w:rPr>
            </w:pPr>
            <w:r>
              <w:rPr>
                <w:rFonts w:hint="eastAsia" w:hAnsi="宋体" w:cs="宋体"/>
                <w:szCs w:val="21"/>
                <w:u w:val="none"/>
              </w:rPr>
              <w:t>安徽省合肥市蜀山区567号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5" w:type="dxa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参与起草单位</w:t>
            </w:r>
          </w:p>
        </w:tc>
        <w:tc>
          <w:tcPr>
            <w:tcW w:w="7945" w:type="dxa"/>
            <w:vAlign w:val="center"/>
          </w:tcPr>
          <w:p>
            <w:pPr>
              <w:rPr>
                <w:rFonts w:hint="eastAsia" w:ascii="宋体" w:hAnsi="宋体" w:eastAsia="宋体"/>
                <w:color w:val="000000" w:themeColor="text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</w:rPr>
              <w:t>安徽省住房和城乡建设厅建筑节能科技处、安徽省建筑节能与科技协会、安徽省建筑工程质量第二监督检测站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编制情况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1、编制过程简介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contextualSpacing/>
              <w:rPr>
                <w:rFonts w:hAnsi="宋体"/>
              </w:rPr>
            </w:pPr>
            <w:r>
              <w:rPr>
                <w:rFonts w:hint="eastAsia"/>
                <w:szCs w:val="21"/>
              </w:rPr>
              <w:t>2022年10月31日，召开</w:t>
            </w:r>
            <w:r>
              <w:rPr>
                <w:rFonts w:hint="eastAsia" w:hAnsi="宋体"/>
              </w:rPr>
              <w:t>大纲编制专家讨论会；</w:t>
            </w:r>
          </w:p>
          <w:p>
            <w:pPr>
              <w:pStyle w:val="13"/>
              <w:adjustRightInd w:val="0"/>
              <w:spacing w:line="360" w:lineRule="auto"/>
              <w:contextualSpacing/>
            </w:pPr>
            <w:r>
              <w:rPr>
                <w:rFonts w:hint="eastAsia" w:hAnsi="宋体"/>
              </w:rPr>
              <w:t>2</w:t>
            </w:r>
            <w:r>
              <w:rPr>
                <w:rFonts w:hAnsi="宋体"/>
              </w:rPr>
              <w:t>02</w:t>
            </w:r>
            <w:r>
              <w:rPr>
                <w:rFonts w:hint="eastAsia" w:hAnsi="宋体"/>
              </w:rPr>
              <w:t>2年11月8日，</w:t>
            </w:r>
            <w:r>
              <w:rPr>
                <w:rFonts w:hint="eastAsia"/>
                <w:szCs w:val="21"/>
              </w:rPr>
              <w:t>召开</w:t>
            </w:r>
            <w:r>
              <w:rPr>
                <w:rFonts w:hint="eastAsia"/>
              </w:rPr>
              <w:t>主、参编单位全体会议，全体编制组成员共同讨论项目进程、项目计划安排及项目大纲初步成果等；</w:t>
            </w:r>
          </w:p>
          <w:p>
            <w:pPr>
              <w:pStyle w:val="13"/>
              <w:adjustRightInd w:val="0"/>
              <w:spacing w:line="360" w:lineRule="auto"/>
              <w:contextualSpacing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2年11月15日，</w:t>
            </w:r>
            <w:r>
              <w:rPr>
                <w:rFonts w:hint="eastAsia"/>
                <w:szCs w:val="21"/>
              </w:rPr>
              <w:t>召开</w:t>
            </w:r>
            <w:r>
              <w:rPr>
                <w:rFonts w:hint="eastAsia" w:hAnsi="宋体"/>
              </w:rPr>
              <w:t>编制组讨论会，形成标准草案；</w:t>
            </w:r>
          </w:p>
          <w:p>
            <w:pPr>
              <w:pStyle w:val="13"/>
              <w:adjustRightInd w:val="0"/>
              <w:spacing w:line="360" w:lineRule="auto"/>
              <w:contextualSpacing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2年11月24日，</w:t>
            </w:r>
            <w:r>
              <w:rPr>
                <w:rFonts w:hint="eastAsia" w:hAnsi="宋体"/>
              </w:rPr>
              <w:t>召开</w:t>
            </w:r>
            <w:r>
              <w:rPr>
                <w:rFonts w:hint="eastAsia"/>
              </w:rPr>
              <w:t>草案</w:t>
            </w:r>
            <w:r>
              <w:rPr>
                <w:rFonts w:hint="eastAsia" w:hAnsi="宋体"/>
              </w:rPr>
              <w:t>专家论证会，</w:t>
            </w:r>
            <w:r>
              <w:rPr>
                <w:rFonts w:hint="eastAsia"/>
              </w:rPr>
              <w:t>会议邀请相关专家共同探讨标准草案成果，</w:t>
            </w:r>
            <w:r>
              <w:rPr>
                <w:rFonts w:hint="eastAsia" w:hAnsi="宋体" w:cs="宋体"/>
                <w:szCs w:val="21"/>
              </w:rPr>
              <w:t>经充分讨论，同意初稿通过论证，修改完善后形成征求意见稿。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2、制定标准的必要性和意义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1、实现碳达峰主要路径之一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近零能耗建筑节能率高达85%以上，推广近零能耗建筑是推进节能减排、推动碳达峰、碳中和的重要举措，是提高群众生活品质、满足人民对美好生活向往的重要载体。推广近零能耗建筑是促进产业转型升级、培育新的经济增长点的重要途径，可以带动节能门窗、暖通空调设备、保温材料及可再生能源利用等相关产业发展，以及规划设计、施工管理、质量监管等行业的全面升级，催生未来万亿级蓝海市场，具有重要推广价值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2、完善近零能耗建筑标准体系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国家标准《近零能耗建筑技术标准》GB/T51350-2019界定了我国超低能耗建筑、近零能耗建筑、零能耗建筑等相关概念，同时安徽省《近零能耗建筑技术标准》（DB34/T 4293-2022）沿用国标体系，两部标准均明确近零能耗建筑的评价要求。本标准的编制将会填补近零能耗建筑在设计、施工、运营阶段的评价准则，为全省引导建设的项目颁布评价证书，有利于提高社会资本发展近零能耗建筑的积极性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参照国家在建筑节能、绿色建筑领域标准建设历程来看，标准分为通用类、技术类和评估类三个层次。零碳建筑是建筑领域双碳标准体系中非常重要发展方向，近零能耗建筑是未来零碳建筑的初级阶段，目前我省《近零能耗建筑技术标准》（DB34/T 4293-2022）涵盖有设计、施工和检测的具体规定，针对评价阶段仅规定评价的流程，本标准主要作为DB34/T 4293的评估类标准，明确近零能耗建筑评价体系，完善整个近零能耗建筑标准体系。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3、行业发展的迫切需要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我省现阶段在合肥市、滁州市、六安市、淮北市等地市已有近零能耗建筑的建设试点，特别是近期合肥市竞品住宅地块拍卖、滁州市超低能耗建筑试点城市建设等，拟将验收与评价挂钩。按此趋势发展，未来两年内，全省将会出现接近40万平方米的近零能耗建筑。目前近零能耗建筑急需一部标准对其建设质量、技术水平进行评价，方便考核验收和宣传推广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4、长三角首部近零能耗建筑评价标准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近零能耗建筑在国家层面暂无国家评价标准，其他地市仅河北省发布《被动式超低能耗建筑评价标准》（DB13(J)T 8323-2021）。目前夏热冬冷地区暂无一部近零能耗建筑评价标准，本标准建立在安徽省地方标准《近零能耗建筑技术标准》的基础上，参照绿色建筑评价指标体系和其他先进评价体系，遵循“指标控制、安全可靠、技术合理、适度超前”等原则，评价体系从室内环境、能源节约、施工质量和运营管理等多方面，对建筑进行综合评价，其特点是建筑全过程的节能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3、制定标准的原则和依据，与现行法律法规、标准的关系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ind w:firstLine="561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标准编写过程中始终遵循“统一性、协调性、适用性、一致性、规范性”的原则，符合国家法律法规规定，结合安徽省工程实际，结合了《近零能耗建筑技术标准》有关内容、以及行业主管部门关于近零能耗建筑发展的有关要求，规范了我省近零能耗建筑的评价要求，在充分调查研究、紧密结合实践的基础上，本着先进性、科学性、合理性和可操作性原则制定满足市场需求、技术内容完整、可操作性强的标准。与现行法律、法规和标准无冲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4、主要条款的说明，主要技术指标、参数、试验验证的论述（详细说明）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（1）本标准应围绕近零能耗建筑评价方法的适用性、评价流程的标准化，重点针对近零能耗建筑关键性评价指标进行归纳，并给出等级划分方法，适用性强。</w:t>
            </w:r>
          </w:p>
          <w:p>
            <w:pPr>
              <w:ind w:firstLine="420" w:firstLineChars="200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（2）本标准延续安徽省地方标准《近零能耗建筑技术标准》的指标体系，结合安徽省气候条件、近零能耗建筑技术特点以及技术措施实施情况，因地制宜编制近零能耗建筑评价体系，大致如下：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1)“目标体系”：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遵循原则：简化分类，便于实操；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评价等级划分:超低能耗建筑、近零能耗建筑、零能耗建筑。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近零能耗建筑评价的分值设定如下表：</w:t>
            </w:r>
          </w:p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4"/>
              <w:gridCol w:w="1276"/>
              <w:gridCol w:w="1276"/>
              <w:gridCol w:w="1276"/>
              <w:gridCol w:w="1495"/>
              <w:gridCol w:w="14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04" w:type="dxa"/>
                  <w:vMerge w:val="restar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阶段</w:t>
                  </w:r>
                </w:p>
              </w:tc>
              <w:tc>
                <w:tcPr>
                  <w:tcW w:w="1276" w:type="dxa"/>
                  <w:vMerge w:val="restart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控制项</w:t>
                  </w:r>
                </w:p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基础分值</w:t>
                  </w:r>
                </w:p>
              </w:tc>
              <w:tc>
                <w:tcPr>
                  <w:tcW w:w="4047" w:type="dxa"/>
                  <w:gridSpan w:val="3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评价指标评分项分值</w:t>
                  </w:r>
                </w:p>
              </w:tc>
              <w:tc>
                <w:tcPr>
                  <w:tcW w:w="1495" w:type="dxa"/>
                  <w:vMerge w:val="restar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创新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04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室内环境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能源节约</w:t>
                  </w:r>
                </w:p>
              </w:tc>
              <w:tc>
                <w:tcPr>
                  <w:tcW w:w="14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运行管理</w:t>
                  </w:r>
                </w:p>
              </w:tc>
              <w:tc>
                <w:tcPr>
                  <w:tcW w:w="1495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0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设计评价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0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运行评价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</w:tr>
          </w:tbl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近零能耗建筑评价的总得分应按下式进行计算。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Q=(Q0+Q1+Q2+Q3+QA)/10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式中：Q——总得分；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Q0——控制项基础分值，当满足所有控制项的要求时取500分。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Q1~ Q3——分别为评价指标体系3类指标（室内环境、能源节能、运行管理）评分项得分；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QA——管理与创新加分项得分。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近零能耗建筑评价等级划分如下：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1. 超低能耗建筑满足所有控制项的要求，每类指标的评分项得分不应小于其评分项满分值的30%；设计评价和运行评价总得分均不低于60分；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  近零能耗建筑应满足所有控制项的要求，每类指标的评分项得分不应小于其评分项满分值的30%；设计评价和运行评价总得分均不低于70分；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3  零能耗建筑应满足近零能耗建筑评价要求，且建筑</w:t>
            </w:r>
            <w:r>
              <w:rPr>
                <w:rFonts w:ascii="Times New Roman" w:hAnsi="Times New Roman"/>
                <w:bCs/>
              </w:rPr>
              <w:t>可再生能源</w:t>
            </w:r>
            <w:r>
              <w:rPr>
                <w:rFonts w:hint="eastAsia" w:ascii="Times New Roman" w:hAnsi="Times New Roman"/>
                <w:bCs/>
              </w:rPr>
              <w:t>提供的能源利用量</w:t>
            </w:r>
            <w:r>
              <w:rPr>
                <w:rFonts w:ascii="Times New Roman" w:hAnsi="Times New Roman"/>
                <w:bCs/>
              </w:rPr>
              <w:t>不应小于建筑</w:t>
            </w:r>
            <w:r>
              <w:rPr>
                <w:rFonts w:hint="eastAsia" w:ascii="Times New Roman" w:hAnsi="Times New Roman"/>
                <w:bCs/>
              </w:rPr>
              <w:t>年供暖、通风、空调、照明、生活热水、电梯的终端能耗量。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2)“指标体系”：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技术指标体系划分：室内环境、能源节约、运行管理、创新。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设计评价：室内环境、能源节约、创新；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运行评价：室内环境、能源节约、运行管理、创新。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3)“评分体系”：</w:t>
            </w:r>
          </w:p>
          <w:p>
            <w:pPr>
              <w:ind w:firstLine="420" w:firstLineChars="200"/>
              <w:rPr>
                <w:rFonts w:hint="eastAsia"/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近零能耗建筑应满足本标准所有控制项的要求，根据编制组对现有大量近零能耗建筑案例评价总结，超低能耗建筑在设计评价和运行评价阶段总得分均不低于60分；近零能耗建筑在设计评价、运行评价总得分均不低于70分。鉴于到现阶段零能耗建筑数量较少和单体规模较小，多数为示范试点工程，基本以大量可再生能源抵消建筑终端能耗，相应的被动式、主动式节能措施较少，考虑到鼓励推广原则，仅控制建筑室内环境质量和能耗水平，其评分相对近零能耗建筑不做提升。</w:t>
            </w:r>
          </w:p>
          <w:p>
            <w:pPr>
              <w:ind w:firstLine="420" w:firstLineChars="20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bookmarkStart w:id="0" w:name="_Toc464905613"/>
            <w:bookmarkStart w:id="1" w:name="_Toc464905809"/>
            <w:bookmarkStart w:id="2" w:name="_Toc464902852"/>
            <w:bookmarkStart w:id="3" w:name="_Toc464905557"/>
            <w:bookmarkStart w:id="4" w:name="_Toc465074266"/>
            <w:r>
              <w:rPr>
                <w:rFonts w:hint="eastAsia" w:hAnsi="宋体"/>
                <w:b/>
                <w:bCs/>
                <w:szCs w:val="21"/>
              </w:rPr>
              <w:t>5、标准中如果涉及专利，应有明确的知识产权说明</w:t>
            </w:r>
            <w:bookmarkEnd w:id="0"/>
            <w:bookmarkEnd w:id="1"/>
            <w:bookmarkEnd w:id="2"/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bookmarkStart w:id="5" w:name="_Toc464905810"/>
            <w:bookmarkStart w:id="6" w:name="_Toc465074267"/>
            <w:bookmarkStart w:id="7" w:name="_Toc464905614"/>
            <w:bookmarkStart w:id="8" w:name="_Toc464905558"/>
            <w:bookmarkStart w:id="9" w:name="_Toc464902853"/>
            <w:r>
              <w:rPr>
                <w:rFonts w:hint="eastAsia" w:hAnsi="宋体"/>
                <w:b/>
                <w:bCs/>
                <w:szCs w:val="21"/>
              </w:rPr>
              <w:t>6、采用国际标准或国外先进标准的，说明采标程度，以及国内外同类标准水平的对比情况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bookmarkStart w:id="10" w:name="_Toc464905615"/>
            <w:bookmarkStart w:id="11" w:name="_Toc465074268"/>
            <w:bookmarkStart w:id="12" w:name="_Toc464905811"/>
            <w:bookmarkStart w:id="13" w:name="_Toc464902854"/>
            <w:bookmarkStart w:id="14" w:name="_Toc464905559"/>
            <w:r>
              <w:rPr>
                <w:rFonts w:hint="eastAsia" w:hAnsi="宋体"/>
                <w:b/>
                <w:bCs/>
                <w:szCs w:val="21"/>
              </w:rPr>
              <w:t>7、重大分歧意见的处理经过和依据</w:t>
            </w:r>
            <w:bookmarkEnd w:id="10"/>
            <w:bookmarkEnd w:id="11"/>
            <w:bookmarkEnd w:id="12"/>
            <w:bookmarkEnd w:id="13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bookmarkStart w:id="15" w:name="_Toc465074269"/>
            <w:bookmarkStart w:id="16" w:name="_Toc464905812"/>
            <w:bookmarkStart w:id="17" w:name="_Toc464902855"/>
            <w:bookmarkStart w:id="18" w:name="_Toc464905560"/>
            <w:bookmarkStart w:id="19" w:name="_Toc464905616"/>
            <w:r>
              <w:rPr>
                <w:rFonts w:hint="eastAsia" w:hAnsi="宋体"/>
                <w:b/>
                <w:bCs/>
                <w:szCs w:val="21"/>
              </w:rPr>
              <w:t>8、贯彻标准的要求和措施建议（包括组织措施、技术措施、过渡办法、实施日期等）</w:t>
            </w:r>
            <w:bookmarkEnd w:id="15"/>
            <w:bookmarkEnd w:id="16"/>
            <w:bookmarkEnd w:id="17"/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标准发布实施后，由编制组牵头举办标准宣贯会、制定宣贯方案，组织安徽省内对标准实施各方开展宣传、培训、标准发放等工作，在全省范围内对标准实施各方主体开展宣贯培训，推动标准的落地，可以分为标准专题讲座和项目实地考察学习。</w:t>
            </w:r>
          </w:p>
          <w:p>
            <w:pPr>
              <w:pStyle w:val="13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标准为首次制定，建议实施宣贯后根据需求进行组织培训。在标准实施过程中，不断总结，发现标准执行中的问题，适时进行修订，不断修改完善，提升标准技术水平，进一步提高标准的科学性、合理性、协调性和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bookmarkStart w:id="20" w:name="_Toc464905561"/>
            <w:bookmarkStart w:id="21" w:name="_Toc465074270"/>
            <w:bookmarkStart w:id="22" w:name="_Toc464902856"/>
            <w:bookmarkStart w:id="23" w:name="_Toc464905813"/>
            <w:bookmarkStart w:id="24" w:name="_Toc464905617"/>
            <w:r>
              <w:rPr>
                <w:rFonts w:hint="eastAsia" w:hAnsi="宋体"/>
                <w:b/>
                <w:bCs/>
                <w:szCs w:val="21"/>
              </w:rPr>
              <w:t>9、废止现行相关标准的建议</w:t>
            </w:r>
            <w:bookmarkEnd w:id="20"/>
            <w:bookmarkEnd w:id="21"/>
            <w:bookmarkEnd w:id="22"/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bookmarkStart w:id="25" w:name="_Toc464905814"/>
            <w:bookmarkStart w:id="26" w:name="_Toc465074271"/>
            <w:bookmarkStart w:id="27" w:name="_Toc464905562"/>
            <w:bookmarkStart w:id="28" w:name="_Toc464902857"/>
            <w:bookmarkStart w:id="29" w:name="_Toc464905618"/>
            <w:r>
              <w:rPr>
                <w:rFonts w:hint="eastAsia" w:hAnsi="宋体"/>
                <w:b/>
                <w:bCs/>
                <w:szCs w:val="21"/>
              </w:rPr>
              <w:t>10、其它应予说明的事项</w:t>
            </w:r>
            <w:bookmarkEnd w:id="25"/>
            <w:bookmarkEnd w:id="26"/>
            <w:bookmarkEnd w:id="27"/>
            <w:bookmarkEnd w:id="28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0" w:type="dxa"/>
            <w:gridSpan w:val="2"/>
            <w:vAlign w:val="center"/>
          </w:tcPr>
          <w:p>
            <w:pPr>
              <w:pStyle w:val="13"/>
              <w:adjustRightInd w:val="0"/>
              <w:spacing w:line="360" w:lineRule="auto"/>
              <w:ind w:firstLine="0" w:firstLineChars="0"/>
              <w:contextualSpacing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无</w:t>
            </w:r>
          </w:p>
        </w:tc>
      </w:tr>
    </w:tbl>
    <w:p>
      <w:pPr>
        <w:pStyle w:val="14"/>
      </w:pPr>
      <w:r>
        <w:rPr>
          <w:rFonts w:hint="eastAsia"/>
        </w:rPr>
        <w:t>没有的请填写 “无”。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1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6DBF04F4"/>
    <w:multiLevelType w:val="multilevel"/>
    <w:tmpl w:val="6DBF04F4"/>
    <w:lvl w:ilvl="0" w:tentative="0">
      <w:start w:val="1"/>
      <w:numFmt w:val="none"/>
      <w:pStyle w:val="14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OGFlZjdiMDkyMmU3Y2M3NGEzMmY5ODE2OTJlMzAifQ=="/>
  </w:docVars>
  <w:rsids>
    <w:rsidRoot w:val="11937BFE"/>
    <w:rsid w:val="0000424A"/>
    <w:rsid w:val="00022D15"/>
    <w:rsid w:val="00037EC4"/>
    <w:rsid w:val="000614F3"/>
    <w:rsid w:val="00095D6F"/>
    <w:rsid w:val="000B1103"/>
    <w:rsid w:val="00101794"/>
    <w:rsid w:val="0011059C"/>
    <w:rsid w:val="001634C5"/>
    <w:rsid w:val="001649DF"/>
    <w:rsid w:val="001C48B2"/>
    <w:rsid w:val="001D60F1"/>
    <w:rsid w:val="00200018"/>
    <w:rsid w:val="0025402E"/>
    <w:rsid w:val="00275B1C"/>
    <w:rsid w:val="002C4F30"/>
    <w:rsid w:val="002F3700"/>
    <w:rsid w:val="00382EC6"/>
    <w:rsid w:val="0040754A"/>
    <w:rsid w:val="004B1E7D"/>
    <w:rsid w:val="004B53BE"/>
    <w:rsid w:val="004C7E1D"/>
    <w:rsid w:val="004D0695"/>
    <w:rsid w:val="00520F21"/>
    <w:rsid w:val="005F142B"/>
    <w:rsid w:val="0064069E"/>
    <w:rsid w:val="00680642"/>
    <w:rsid w:val="006B40F3"/>
    <w:rsid w:val="006C1EF2"/>
    <w:rsid w:val="00710393"/>
    <w:rsid w:val="00764F30"/>
    <w:rsid w:val="007A1B5D"/>
    <w:rsid w:val="007F5F75"/>
    <w:rsid w:val="008355C7"/>
    <w:rsid w:val="00934A62"/>
    <w:rsid w:val="00992834"/>
    <w:rsid w:val="00AA0056"/>
    <w:rsid w:val="00B52793"/>
    <w:rsid w:val="00B532B6"/>
    <w:rsid w:val="00B56D03"/>
    <w:rsid w:val="00BA32EC"/>
    <w:rsid w:val="00C127B9"/>
    <w:rsid w:val="00C1334E"/>
    <w:rsid w:val="00C6117F"/>
    <w:rsid w:val="00C6226B"/>
    <w:rsid w:val="00C62F50"/>
    <w:rsid w:val="00C645AD"/>
    <w:rsid w:val="00CD36D7"/>
    <w:rsid w:val="00D279CA"/>
    <w:rsid w:val="00D47E8A"/>
    <w:rsid w:val="00DA23A5"/>
    <w:rsid w:val="00DB19A4"/>
    <w:rsid w:val="00E00E61"/>
    <w:rsid w:val="00EF0423"/>
    <w:rsid w:val="00F5620E"/>
    <w:rsid w:val="00F575B3"/>
    <w:rsid w:val="00F62C5A"/>
    <w:rsid w:val="00F709E5"/>
    <w:rsid w:val="00F923AF"/>
    <w:rsid w:val="05DF0718"/>
    <w:rsid w:val="09B63701"/>
    <w:rsid w:val="0E0139D1"/>
    <w:rsid w:val="11937BFE"/>
    <w:rsid w:val="1F651806"/>
    <w:rsid w:val="2189338F"/>
    <w:rsid w:val="24B42D48"/>
    <w:rsid w:val="25FC2044"/>
    <w:rsid w:val="28613C96"/>
    <w:rsid w:val="2CA66493"/>
    <w:rsid w:val="481C1095"/>
    <w:rsid w:val="4BB40B47"/>
    <w:rsid w:val="5BAB2276"/>
    <w:rsid w:val="63FE316D"/>
    <w:rsid w:val="6A3C022E"/>
    <w:rsid w:val="77096059"/>
    <w:rsid w:val="7869628B"/>
    <w:rsid w:val="79E306C6"/>
    <w:rsid w:val="7C3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4"/>
      <w:szCs w:val="20"/>
    </w:rPr>
  </w:style>
  <w:style w:type="paragraph" w:styleId="3">
    <w:name w:val="Body Text Indent"/>
    <w:basedOn w:val="1"/>
    <w:next w:val="4"/>
    <w:qFormat/>
    <w:uiPriority w:val="0"/>
    <w:pPr>
      <w:ind w:firstLine="420" w:firstLineChars="200"/>
    </w:pPr>
    <w:rPr>
      <w:rFonts w:ascii="Times New Roman" w:hAnsi="Times New Roman"/>
      <w:kern w:val="0"/>
      <w:sz w:val="24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3"/>
    <w:unhideWhenUsed/>
    <w:qFormat/>
    <w:uiPriority w:val="99"/>
    <w:pPr>
      <w:spacing w:after="120"/>
      <w:ind w:left="420" w:leftChars="200"/>
    </w:pPr>
    <w:rPr>
      <w:rFonts w:ascii="Calibri" w:hAnsi="Calibri"/>
      <w:kern w:val="2"/>
      <w:sz w:val="21"/>
      <w:szCs w:val="22"/>
    </w:rPr>
  </w:style>
  <w:style w:type="paragraph" w:customStyle="1" w:styleId="11">
    <w:name w:val="标准文件_附录标识"/>
    <w:next w:val="12"/>
    <w:qFormat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标准文件_注："/>
    <w:next w:val="12"/>
    <w:qFormat/>
    <w:uiPriority w:val="0"/>
    <w:pPr>
      <w:widowControl w:val="0"/>
      <w:numPr>
        <w:ilvl w:val="0"/>
        <w:numId w:val="2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op_exactqa_word_word_text1"/>
    <w:basedOn w:val="10"/>
    <w:qFormat/>
    <w:uiPriority w:val="0"/>
    <w:rPr>
      <w:spacing w:val="15"/>
      <w:sz w:val="20"/>
      <w:szCs w:val="20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2837</Words>
  <Characters>2996</Characters>
  <Lines>22</Lines>
  <Paragraphs>6</Paragraphs>
  <TotalTime>23</TotalTime>
  <ScaleCrop>false</ScaleCrop>
  <LinksUpToDate>false</LinksUpToDate>
  <CharactersWithSpaces>3007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2022-09-22T02:36:00Z</dcterms:created>
  <dc:creator>ying123lin163com</dc:creator>
  <cp:lastModifiedBy>他与月光为邻'</cp:lastModifiedBy>
  <dcterms:modified xsi:type="dcterms:W3CDTF">2023-06-16T03:43:37Z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7594C23E32614BE2863D8D546ACB0B9A_13</vt:lpwstr>
  </property>
</Properties>
</file>